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Eliminazione delle barriere architettoniche (pesanti) - CILA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negli interventi svolti alla eliminazione delle barriere architettoniche.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La Comunicazione di Inizio Lavori Asseverata (c.d. CILA) relativa a lavori di manutenzione straordinaria, inviata dal privato all'amministrazione competente, non e' sottoposta alla valutazione di ammissibilita' da parte della amministrazione stessa a cui residua esclusivamente il potere di controllare la conformita' dell'immobile oggetto della CILA alle prescrizioni vigenti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445/2000 -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FC4F1F" w:rsidRDefault="00A96362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A96362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Dal momento che la comunicazione non necessita di autorizzazione, i lavori possono iniziare immediatamente dopo la sua presentazione.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L'inizio dei lavori e la conclusione degli stessi deve obbligatoriamente avvenire entro tre anni dalla presentazione della comunicazione.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Non e' previso alcun provvedimento conclusivo e non si forma il silenzio, residua il controllo in capo 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FC4F1F" w:rsidRDefault="00A96362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96362" w:rsidP="00A9636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96362"/>
    <w:rsid w:val="00AA0DA5"/>
    <w:rsid w:val="00AA5597"/>
    <w:rsid w:val="00AA738F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C4F1F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2026-06-14T19:33:00Z</dcterms:modified>
</cp:coreProperties>
</file>